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3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14 вересня 2016 року</w:t>
        <w:tab/>
        <w:tab/>
        <w:tab/>
        <w:tab/>
        <w:t xml:space="preserve">№ 580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101600</wp:posOffset>
                </wp:positionV>
                <wp:extent cx="2971800" cy="342900"/>
                <wp:effectExtent b="0" l="0" r="0" t="0"/>
                <wp:wrapSquare wrapText="bothSides" distB="0" distT="0" distL="114935" distR="114935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718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101600</wp:posOffset>
                </wp:positionV>
                <wp:extent cx="2971800" cy="342900"/>
                <wp:effectExtent b="0" l="0" r="0" t="0"/>
                <wp:wrapSquare wrapText="bothSides" distB="0" distT="0" distL="114935" distR="114935"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718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48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right="14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п.7) ч.1 ст.39 Закону України ”Про місцеві державні адміністрації”, рішення Пустомитівської районної ради  від 21 грудня 2015 року № 28 «Про районний бюджет Пустомитівського району на 2016 рік», враховуючи висновок постійної комісії Пустомитівської районної ради з питань бюджету, фінансів, податків та інвестицій від 14 вересня 2016 року № 20, листи Борщовицької сільської ради від  14 вересня 2016  № 363, Оброшинської сільської ради від 15 серпня 2016 року № 641, Ставчанської сільської ради від 5 вересня 2016 року № 298,  Чишківської сільської ради від 5 вересня 2016 року № 412, Конопницької сільської ради від 17 серпня 2016 року № 155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Виділити кошти з загального фонду бюджету району органам місцевого самоврядування на утримання органів місцевого самоврядування по КФК 250315 «Інші додаткові дотації» КЕКВ 2620 «Поточні трансферти органам державного управління інших рівнів» в сумі 261 600,00 (двісті шістдесят одна тисяча шістсот) гривень згідно з додатком.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Органам місцевого самоврядування забезпечити спрямування додаткової дотації виключно на захищені статті та недопущення кредиторської заборгованості по них.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Фінансовому управлінню районної державної адміністрації /Л.Максим / внести відповідні зміни у показники районного бюджету на 2016 рік 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9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9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9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9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14 вересня 2016 року 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9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580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right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Розподіл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іншої додаткової дотації з районного бюджету на вирівнювання фінансової забезпеченості  органів місцевого самоврядування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114300" hidden="0" layoutInCell="1" locked="0" relativeHeight="0" simplePos="0">
                <wp:simplePos x="0" y="0"/>
                <wp:positionH relativeFrom="column">
                  <wp:posOffset>-76199</wp:posOffset>
                </wp:positionH>
                <wp:positionV relativeFrom="paragraph">
                  <wp:posOffset>2400300</wp:posOffset>
                </wp:positionV>
                <wp:extent cx="6108700" cy="1549400"/>
                <wp:effectExtent b="0" l="0" r="0" t="0"/>
                <wp:wrapSquare wrapText="bothSides" distB="0" distT="0" distL="0" distR="11430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8700" cy="1549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114300" hidden="0" layoutInCell="1" locked="0" relativeHeight="0" simplePos="0">
                <wp:simplePos x="0" y="0"/>
                <wp:positionH relativeFrom="column">
                  <wp:posOffset>-76199</wp:posOffset>
                </wp:positionH>
                <wp:positionV relativeFrom="paragraph">
                  <wp:posOffset>2400300</wp:posOffset>
                </wp:positionV>
                <wp:extent cx="6108700" cy="1549400"/>
                <wp:effectExtent b="0" l="0" r="0" t="0"/>
                <wp:wrapSquare wrapText="bothSides" distB="0" distT="0" distL="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8700" cy="1549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організаційної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роботи та нагород</w:t>
        <w:tab/>
        <w:tab/>
        <w:tab/>
        <w:tab/>
        <w:tab/>
        <w:tab/>
        <w:tab/>
        <w:t xml:space="preserve">Б.С.ДУЛІБА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2.png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image" Target="media/image3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